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330" w:tblpY="89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2074"/>
        <w:gridCol w:w="2231"/>
        <w:gridCol w:w="4526"/>
      </w:tblGrid>
      <w:tr w:rsidR="0078128D" w:rsidTr="009D56DE">
        <w:trPr>
          <w:trHeight w:val="101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382536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3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128D" w:rsidRDefault="0078128D" w:rsidP="00382536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5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382536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9D56DE">
        <w:tc>
          <w:tcPr>
            <w:tcW w:w="1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38253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30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28D" w:rsidRDefault="00FF4582" w:rsidP="0038253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Verdana" w:eastAsia="ＭＳ Ｐゴシック" w:hAnsi="Verdana" w:hint="eastAsia"/>
                <w:b/>
                <w:sz w:val="22"/>
              </w:rPr>
              <w:t>メロキシカム錠</w:t>
            </w:r>
            <w:r w:rsidR="002E7DD6">
              <w:rPr>
                <w:rFonts w:ascii="Verdana" w:eastAsia="ＭＳ Ｐゴシック" w:hAnsi="Verdana" w:hint="eastAsia"/>
                <w:b/>
                <w:sz w:val="22"/>
              </w:rPr>
              <w:t>10</w:t>
            </w:r>
            <w:r>
              <w:rPr>
                <w:rFonts w:ascii="Verdana" w:eastAsia="ＭＳ Ｐゴシック" w:hAnsi="Verdana" w:hint="eastAsia"/>
                <w:b/>
                <w:sz w:val="22"/>
              </w:rPr>
              <w:t>mg</w:t>
            </w:r>
            <w:r>
              <w:rPr>
                <w:rFonts w:ascii="Verdana" w:eastAsia="ＭＳ Ｐゴシック" w:hAnsi="Verdana" w:hint="eastAsia"/>
                <w:b/>
                <w:sz w:val="20"/>
              </w:rPr>
              <w:t>「クニヒロ」</w:t>
            </w:r>
          </w:p>
        </w:tc>
        <w:tc>
          <w:tcPr>
            <w:tcW w:w="4526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FF4582" w:rsidP="00744ABB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Verdana" w:eastAsia="ＭＳ Ｐゴシック" w:hAnsi="Verdana" w:hint="eastAsia"/>
                <w:b/>
                <w:sz w:val="22"/>
              </w:rPr>
              <w:t>モービック錠</w:t>
            </w:r>
            <w:r w:rsidR="002E7DD6">
              <w:rPr>
                <w:rFonts w:ascii="Verdana" w:eastAsia="ＭＳ Ｐゴシック" w:hAnsi="Verdana" w:hint="eastAsia"/>
                <w:b/>
                <w:sz w:val="22"/>
              </w:rPr>
              <w:t>10</w:t>
            </w:r>
            <w:r>
              <w:rPr>
                <w:rFonts w:ascii="Verdana" w:eastAsia="ＭＳ Ｐゴシック" w:hAnsi="Verdana" w:hint="eastAsia"/>
                <w:b/>
                <w:sz w:val="22"/>
              </w:rPr>
              <w:t>mg</w:t>
            </w:r>
          </w:p>
        </w:tc>
      </w:tr>
      <w:tr w:rsidR="0078128D" w:rsidTr="009D56DE"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38253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305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8128D" w:rsidRDefault="0078128D" w:rsidP="00382536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</w:tcPr>
          <w:p w:rsidR="0078128D" w:rsidRDefault="00326F91" w:rsidP="00382536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382536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382536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83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FF4582" w:rsidP="00382536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メロキシカム</w:t>
            </w:r>
          </w:p>
        </w:tc>
      </w:tr>
      <w:tr w:rsidR="0078128D" w:rsidTr="00382536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38253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83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382536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FF4582">
              <w:rPr>
                <w:rFonts w:ascii="Verdana" w:eastAsia="ＭＳ Ｐ明朝" w:hAnsi="Verdana" w:hint="eastAsia"/>
                <w:sz w:val="22"/>
              </w:rPr>
              <w:t>メロキシカム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 w:rsidR="002E7DD6">
              <w:rPr>
                <w:rFonts w:ascii="Verdana" w:eastAsia="ＭＳ Ｐ明朝" w:hAnsi="Verdana" w:hint="eastAsia"/>
                <w:sz w:val="22"/>
              </w:rPr>
              <w:t>10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78128D" w:rsidTr="00382536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38253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83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C41655" w:rsidRDefault="00FF4582" w:rsidP="00382536">
            <w:pPr>
              <w:spacing w:line="300" w:lineRule="atLeast"/>
              <w:rPr>
                <w:rFonts w:ascii="ＭＳ Ｐ明朝" w:eastAsia="ＭＳ Ｐ明朝" w:hAnsi="ＭＳ Ｐ明朝"/>
                <w:sz w:val="22"/>
              </w:rPr>
            </w:pPr>
            <w:r w:rsidRPr="00C41655">
              <w:rPr>
                <w:rFonts w:ascii="ＭＳ Ｐ明朝" w:eastAsia="ＭＳ Ｐ明朝" w:hAnsi="ＭＳ Ｐ明朝" w:hint="eastAsia"/>
                <w:sz w:val="21"/>
                <w:szCs w:val="32"/>
              </w:rPr>
              <w:t>非ステロイド性消炎・鎮痛剤</w:t>
            </w:r>
          </w:p>
        </w:tc>
      </w:tr>
      <w:tr w:rsidR="0078128D" w:rsidTr="009D56DE">
        <w:trPr>
          <w:trHeight w:val="300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38253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305" w:type="dxa"/>
            <w:gridSpan w:val="2"/>
            <w:tcBorders>
              <w:left w:val="single" w:sz="18" w:space="0" w:color="auto"/>
            </w:tcBorders>
          </w:tcPr>
          <w:p w:rsidR="0078128D" w:rsidRDefault="008D69F3" w:rsidP="00382536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10.80</w:t>
            </w:r>
            <w:r w:rsidR="002E7DD6" w:rsidRPr="002E7DD6">
              <w:rPr>
                <w:rFonts w:ascii="Verdana" w:eastAsia="ＭＳ Ｐ明朝" w:hAnsi="Verdana" w:hint="eastAsia"/>
              </w:rPr>
              <w:t>円／錠</w:t>
            </w:r>
          </w:p>
        </w:tc>
        <w:tc>
          <w:tcPr>
            <w:tcW w:w="4526" w:type="dxa"/>
            <w:tcBorders>
              <w:right w:val="single" w:sz="18" w:space="0" w:color="auto"/>
            </w:tcBorders>
          </w:tcPr>
          <w:p w:rsidR="0078128D" w:rsidRDefault="008D69F3" w:rsidP="00382536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23.20</w:t>
            </w:r>
            <w:r w:rsidR="002E7DD6" w:rsidRPr="002E7DD6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78128D" w:rsidTr="00382536">
        <w:trPr>
          <w:trHeight w:val="300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38253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83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128D" w:rsidRDefault="008D69F3" w:rsidP="00581C48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12.40</w:t>
            </w:r>
            <w:r w:rsidR="002E7DD6" w:rsidRPr="002E7DD6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78128D" w:rsidTr="00382536">
        <w:trPr>
          <w:cantSplit/>
          <w:trHeight w:val="526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38253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2074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38253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582" w:rsidRDefault="00FF4582" w:rsidP="00382536">
            <w:pPr>
              <w:spacing w:line="22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下記疾患並びに症状の消炎・鎮痛</w:t>
            </w:r>
          </w:p>
          <w:p w:rsidR="0078128D" w:rsidRDefault="00FF4582" w:rsidP="00382536">
            <w:pPr>
              <w:spacing w:line="240" w:lineRule="exact"/>
              <w:ind w:leftChars="17" w:left="41" w:firstLineChars="100" w:firstLine="200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関節リウマチ、変形性関節症、腰痛症、肩関節周囲炎、頸肩腕症候群</w:t>
            </w:r>
          </w:p>
        </w:tc>
      </w:tr>
      <w:tr w:rsidR="0078128D" w:rsidTr="00382536">
        <w:trPr>
          <w:cantSplit/>
          <w:trHeight w:val="646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38253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2074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382536">
            <w:pPr>
              <w:snapToGrid w:val="0"/>
              <w:spacing w:line="240" w:lineRule="exact"/>
              <w:ind w:leftChars="-1" w:left="-1" w:hanging="1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582" w:rsidRDefault="00FF4582" w:rsidP="00382536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通常、成人にはメロキシカムとして</w:t>
            </w:r>
            <w:r>
              <w:rPr>
                <w:rFonts w:ascii="Verdana" w:eastAsia="ＭＳ Ｐ明朝" w:hAnsi="Verdana" w:hint="eastAsia"/>
                <w:sz w:val="20"/>
              </w:rPr>
              <w:t>10mg</w:t>
            </w:r>
            <w:r>
              <w:rPr>
                <w:rFonts w:ascii="Verdana" w:eastAsia="ＭＳ Ｐ明朝" w:hAnsi="Verdana" w:hint="eastAsia"/>
                <w:sz w:val="20"/>
              </w:rPr>
              <w:t>を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日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回食後に経口投与する。</w:t>
            </w:r>
          </w:p>
          <w:p w:rsidR="00FF4582" w:rsidRDefault="00FF4582" w:rsidP="00382536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なお、年齢、症状により適宜増減するが、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日最高用量は</w:t>
            </w:r>
            <w:r>
              <w:rPr>
                <w:rFonts w:ascii="Verdana" w:eastAsia="ＭＳ Ｐ明朝" w:hAnsi="Verdana" w:hint="eastAsia"/>
                <w:sz w:val="20"/>
              </w:rPr>
              <w:t>15mg</w:t>
            </w:r>
            <w:r>
              <w:rPr>
                <w:rFonts w:ascii="Verdana" w:eastAsia="ＭＳ Ｐ明朝" w:hAnsi="Verdana" w:hint="eastAsia"/>
                <w:sz w:val="20"/>
              </w:rPr>
              <w:t>とする。</w:t>
            </w:r>
            <w:r>
              <w:rPr>
                <w:rFonts w:ascii="Verdana" w:eastAsia="ＭＳ Ｐ明朝" w:hAnsi="Verdana" w:hint="eastAsia"/>
                <w:sz w:val="20"/>
              </w:rPr>
              <w:t xml:space="preserve"> </w:t>
            </w:r>
          </w:p>
          <w:p w:rsidR="00FF4582" w:rsidRDefault="00FF4582" w:rsidP="00382536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＜用法・用量に関連する使用上の注意＞</w:t>
            </w:r>
          </w:p>
          <w:p w:rsidR="0078128D" w:rsidRPr="0078128D" w:rsidRDefault="00FF4582" w:rsidP="00382536">
            <w:pPr>
              <w:snapToGrid w:val="0"/>
              <w:spacing w:line="240" w:lineRule="exact"/>
              <w:ind w:leftChars="50" w:left="120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国内において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日</w:t>
            </w:r>
            <w:r>
              <w:rPr>
                <w:rFonts w:ascii="Verdana" w:eastAsia="ＭＳ Ｐ明朝" w:hAnsi="Verdana" w:hint="eastAsia"/>
                <w:sz w:val="20"/>
              </w:rPr>
              <w:t>15mg</w:t>
            </w:r>
            <w:r>
              <w:rPr>
                <w:rFonts w:ascii="Verdana" w:eastAsia="ＭＳ Ｐ明朝" w:hAnsi="Verdana" w:hint="eastAsia"/>
                <w:sz w:val="20"/>
              </w:rPr>
              <w:t>を超える用量での安全性は確立していない</w:t>
            </w:r>
            <w:r w:rsidR="00C11E0D">
              <w:rPr>
                <w:rFonts w:ascii="Verdana" w:eastAsia="ＭＳ Ｐ明朝" w:hAnsi="Verdana" w:hint="eastAsia"/>
                <w:sz w:val="20"/>
              </w:rPr>
              <w:t>（使用経験が少ない）。</w:t>
            </w:r>
          </w:p>
        </w:tc>
      </w:tr>
      <w:tr w:rsidR="0078128D" w:rsidTr="00382536">
        <w:trPr>
          <w:cantSplit/>
          <w:trHeight w:val="641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38253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78128D" w:rsidRDefault="0078128D" w:rsidP="0038253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2074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382536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C11E0D" w:rsidP="00382536">
            <w:pPr>
              <w:widowControl/>
              <w:adjustRightInd/>
              <w:spacing w:line="220" w:lineRule="exact"/>
              <w:textAlignment w:val="auto"/>
              <w:rPr>
                <w:rFonts w:ascii="Verdana" w:eastAsia="ＭＳ Ｐ明朝" w:hAnsi="Verdana"/>
                <w:sz w:val="20"/>
              </w:rPr>
            </w:pPr>
            <w:bookmarkStart w:id="0" w:name="_GoBack"/>
            <w:bookmarkEnd w:id="0"/>
            <w:r w:rsidRPr="00C11E0D">
              <w:rPr>
                <w:rFonts w:ascii="Verdana" w:eastAsia="ＭＳ Ｐ明朝" w:hAnsi="Verdana" w:hint="eastAsia"/>
                <w:sz w:val="20"/>
                <w:szCs w:val="21"/>
              </w:rPr>
              <w:t>室温保存</w:t>
            </w:r>
            <w:r w:rsidR="002E7DD6">
              <w:rPr>
                <w:rFonts w:ascii="Verdana" w:eastAsia="ＭＳ Ｐ明朝" w:hAnsi="Verdana" w:hint="eastAsia"/>
                <w:sz w:val="20"/>
                <w:szCs w:val="21"/>
              </w:rPr>
              <w:t>、</w:t>
            </w:r>
            <w:r w:rsidRPr="00C11E0D">
              <w:rPr>
                <w:rFonts w:ascii="Verdana" w:eastAsia="ＭＳ Ｐ明朝" w:hAnsi="Verdana" w:hint="eastAsia"/>
                <w:sz w:val="20"/>
                <w:szCs w:val="21"/>
              </w:rPr>
              <w:t>吸湿注意</w:t>
            </w:r>
          </w:p>
        </w:tc>
      </w:tr>
      <w:tr w:rsidR="0078128D" w:rsidTr="009D56DE">
        <w:trPr>
          <w:cantSplit/>
          <w:trHeight w:val="358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38253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305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38253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52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38253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</w:p>
        </w:tc>
      </w:tr>
      <w:tr w:rsidR="0078128D" w:rsidTr="009D56DE">
        <w:trPr>
          <w:cantSplit/>
          <w:trHeight w:val="641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38253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305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D840B4" w:rsidP="00382536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クエン酸ナトリウム水和物、乳糖水和物、トウモロコシデンプン、結晶セルロース、ヒドロキシプロピルセルロース、クロスポビドン、ステアリン酸マグネシウム、軽質無水ケイ酸</w:t>
            </w:r>
          </w:p>
        </w:tc>
        <w:tc>
          <w:tcPr>
            <w:tcW w:w="452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C41655" w:rsidP="00382536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クエン酸ナトリウム水和物、乳糖水和物、トウモロコシデンプン、結晶セルロース、ヒドロキシプロピルセルロース、クロスポビドン、ステアリン酸マグネシウム</w:t>
            </w:r>
          </w:p>
        </w:tc>
      </w:tr>
      <w:tr w:rsidR="0078128D" w:rsidTr="009D56DE">
        <w:trPr>
          <w:cantSplit/>
          <w:trHeight w:val="326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38253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30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Default="002E7DD6" w:rsidP="0038253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淡黄色の割線入り素錠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2E7DD6" w:rsidP="0038253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淡黄色の割線入り錠剤</w:t>
            </w:r>
          </w:p>
        </w:tc>
      </w:tr>
      <w:tr w:rsidR="0078128D" w:rsidTr="009D56DE">
        <w:trPr>
          <w:cantSplit/>
          <w:trHeight w:val="786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38253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38253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430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2E7DD6" w:rsidP="00382536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/>
                <w:bCs/>
                <w:noProof/>
                <w:sz w:val="32"/>
              </w:rPr>
              <w:drawing>
                <wp:anchor distT="0" distB="0" distL="114300" distR="114300" simplePos="0" relativeHeight="251670528" behindDoc="0" locked="0" layoutInCell="1" allowOverlap="1" wp14:anchorId="212CBA44" wp14:editId="4BF293B3">
                  <wp:simplePos x="0" y="0"/>
                  <wp:positionH relativeFrom="column">
                    <wp:posOffset>1142365</wp:posOffset>
                  </wp:positionH>
                  <wp:positionV relativeFrom="page">
                    <wp:posOffset>35560</wp:posOffset>
                  </wp:positionV>
                  <wp:extent cx="420370" cy="420370"/>
                  <wp:effectExtent l="0" t="0" r="0" b="0"/>
                  <wp:wrapNone/>
                  <wp:docPr id="2" name="図 2" descr="メロキシカム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メロキシカム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" t="4189" r="4950" b="39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/>
                <w:bCs/>
                <w:noProof/>
                <w:sz w:val="32"/>
              </w:rPr>
              <w:drawing>
                <wp:anchor distT="0" distB="0" distL="114300" distR="114300" simplePos="0" relativeHeight="251669504" behindDoc="0" locked="0" layoutInCell="1" allowOverlap="1" wp14:anchorId="3419216E" wp14:editId="432445EA">
                  <wp:simplePos x="0" y="0"/>
                  <wp:positionH relativeFrom="column">
                    <wp:posOffset>404495</wp:posOffset>
                  </wp:positionH>
                  <wp:positionV relativeFrom="page">
                    <wp:posOffset>20955</wp:posOffset>
                  </wp:positionV>
                  <wp:extent cx="420370" cy="420370"/>
                  <wp:effectExtent l="0" t="0" r="0" b="0"/>
                  <wp:wrapNone/>
                  <wp:docPr id="1" name="図 1" descr="メロキシカム-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メロキシカム-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0" t="3304" r="5318" b="39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FD13F7" w:rsidP="00382536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/>
                <w:bCs/>
                <w:noProof/>
                <w:sz w:val="32"/>
              </w:rPr>
              <w:drawing>
                <wp:anchor distT="0" distB="0" distL="114300" distR="114300" simplePos="0" relativeHeight="251671552" behindDoc="0" locked="0" layoutInCell="1" allowOverlap="1" wp14:anchorId="2A441EBB" wp14:editId="125BAF99">
                  <wp:simplePos x="0" y="0"/>
                  <wp:positionH relativeFrom="column">
                    <wp:posOffset>1873885</wp:posOffset>
                  </wp:positionH>
                  <wp:positionV relativeFrom="page">
                    <wp:posOffset>165100</wp:posOffset>
                  </wp:positionV>
                  <wp:extent cx="409575" cy="169545"/>
                  <wp:effectExtent l="0" t="0" r="9525" b="1905"/>
                  <wp:wrapNone/>
                  <wp:docPr id="3" name="図 3" descr="メロキシカム-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メロキシカム-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9" t="32143" r="4784" b="30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11E0D" w:rsidRDefault="00C11E0D" w:rsidP="00382536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382536" w:rsidP="0038253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180mg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 w:rsidR="002E7DD6">
              <w:rPr>
                <w:rFonts w:ascii="Verdana" w:eastAsia="ＭＳ Ｐ明朝" w:hAnsi="Verdana" w:hint="eastAsia"/>
                <w:sz w:val="20"/>
              </w:rPr>
              <w:t>8.0mm</w:t>
            </w:r>
            <w:r w:rsidR="002E7DD6">
              <w:rPr>
                <w:rFonts w:ascii="Verdana" w:eastAsia="ＭＳ Ｐ明朝" w:hAnsi="Verdana" w:hint="eastAsia"/>
                <w:sz w:val="20"/>
              </w:rPr>
              <w:t xml:space="preserve">　</w:t>
            </w:r>
            <w:r>
              <w:rPr>
                <w:rFonts w:ascii="Verdana" w:eastAsia="ＭＳ Ｐ明朝" w:hAnsi="Verdana" w:hint="eastAsia"/>
                <w:sz w:val="20"/>
              </w:rPr>
              <w:t xml:space="preserve">　</w:t>
            </w:r>
            <w:r w:rsidR="002E7DD6">
              <w:rPr>
                <w:rFonts w:ascii="Verdana" w:eastAsia="ＭＳ Ｐ明朝" w:hAnsi="Verdana" w:hint="eastAsia"/>
                <w:sz w:val="20"/>
              </w:rPr>
              <w:t xml:space="preserve">　</w:t>
            </w:r>
            <w:r w:rsidR="002E7DD6">
              <w:rPr>
                <w:rFonts w:ascii="Verdana" w:eastAsia="ＭＳ Ｐ明朝" w:hAnsi="Verdana" w:hint="eastAsia"/>
                <w:sz w:val="20"/>
              </w:rPr>
              <w:t>2.8mm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382536" w:rsidP="0038253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約</w:t>
            </w:r>
            <w:r w:rsidR="00C41655">
              <w:rPr>
                <w:rFonts w:ascii="Verdana" w:eastAsia="ＭＳ Ｐ明朝" w:hAnsi="Verdana" w:hint="eastAsia"/>
                <w:sz w:val="20"/>
              </w:rPr>
              <w:t>0.18</w:t>
            </w:r>
            <w:r>
              <w:rPr>
                <w:rFonts w:ascii="Verdana" w:eastAsia="ＭＳ Ｐ明朝" w:hAnsi="Verdana" w:hint="eastAsia"/>
                <w:sz w:val="20"/>
              </w:rPr>
              <w:t>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約</w:t>
            </w:r>
            <w:r>
              <w:rPr>
                <w:rFonts w:ascii="Verdana" w:eastAsia="ＭＳ Ｐ明朝" w:hAnsi="Verdana" w:hint="eastAsia"/>
                <w:sz w:val="20"/>
              </w:rPr>
              <w:t>8mm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約</w:t>
            </w:r>
            <w:r>
              <w:rPr>
                <w:rFonts w:ascii="Verdana" w:eastAsia="ＭＳ Ｐ明朝" w:hAnsi="Verdana" w:hint="eastAsia"/>
                <w:sz w:val="20"/>
              </w:rPr>
              <w:t>2.8mm</w:t>
            </w:r>
          </w:p>
        </w:tc>
      </w:tr>
      <w:tr w:rsidR="0078128D" w:rsidTr="009D56DE">
        <w:trPr>
          <w:cantSplit/>
          <w:trHeight w:val="392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38253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4305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382536" w:rsidP="0038253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KSK113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38253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78128D" w:rsidTr="009D56DE">
        <w:trPr>
          <w:cantSplit/>
          <w:trHeight w:val="4578"/>
        </w:trPr>
        <w:tc>
          <w:tcPr>
            <w:tcW w:w="153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38253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78128D" w:rsidRDefault="0078128D" w:rsidP="0038253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30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78128D" w:rsidRDefault="0078128D" w:rsidP="00382536">
            <w:pPr>
              <w:snapToGrid w:val="0"/>
              <w:spacing w:line="180" w:lineRule="exact"/>
              <w:rPr>
                <w:rFonts w:ascii="Verdana" w:eastAsia="ＭＳ Ｐゴシック" w:hAnsi="Verdana"/>
                <w:color w:val="000000"/>
                <w:sz w:val="12"/>
              </w:rPr>
            </w:pPr>
          </w:p>
          <w:p w:rsidR="0078128D" w:rsidRDefault="0078128D" w:rsidP="00382536">
            <w:pPr>
              <w:spacing w:line="260" w:lineRule="exact"/>
              <w:rPr>
                <w:rFonts w:ascii="Verdana" w:eastAsia="ＭＳ Ｐゴシック" w:hAnsi="Verdana"/>
                <w:color w:val="000000"/>
                <w:sz w:val="22"/>
              </w:rPr>
            </w:pP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溶出試験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 xml:space="preserve"> 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（試験液</w:t>
            </w:r>
            <w:r>
              <w:rPr>
                <w:rFonts w:ascii="Verdana" w:eastAsia="ＭＳ Ｐゴシック" w:hAnsi="Verdana"/>
                <w:color w:val="000000"/>
                <w:sz w:val="22"/>
              </w:rPr>
              <w:t>：</w:t>
            </w:r>
            <w:r w:rsidR="00410290">
              <w:rPr>
                <w:rFonts w:ascii="Verdana" w:eastAsia="ＭＳ Ｐゴシック" w:hAnsi="Verdana" w:hint="eastAsia"/>
                <w:color w:val="000000"/>
                <w:sz w:val="22"/>
              </w:rPr>
              <w:t>pH6.8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）</w:t>
            </w:r>
          </w:p>
          <w:p w:rsidR="0078128D" w:rsidRDefault="0078128D" w:rsidP="00382536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「後発医薬品の生物学的同等性試験ガイドライン」に基づき</w:t>
            </w:r>
            <w:r w:rsidR="007E7819">
              <w:rPr>
                <w:rFonts w:ascii="Verdana" w:eastAsia="ＭＳ Ｐ明朝" w:hAnsi="Verdana" w:hint="eastAsia"/>
                <w:sz w:val="20"/>
              </w:rPr>
              <w:t>、</w:t>
            </w:r>
            <w:r w:rsidR="00E953B1" w:rsidRPr="00E953B1">
              <w:rPr>
                <w:rFonts w:ascii="Verdana" w:eastAsia="ＭＳ Ｐ明朝" w:hAnsi="Verdana" w:hint="eastAsia"/>
                <w:sz w:val="20"/>
              </w:rPr>
              <w:t>本製剤と標準製剤</w:t>
            </w:r>
            <w:r>
              <w:rPr>
                <w:rFonts w:ascii="Verdana" w:eastAsia="ＭＳ Ｐ明朝" w:hAnsi="Verdana" w:hint="eastAsia"/>
                <w:sz w:val="20"/>
              </w:rPr>
              <w:t>の溶出挙動は同等であると判断された。</w:t>
            </w:r>
          </w:p>
          <w:p w:rsidR="0078128D" w:rsidRDefault="00410290" w:rsidP="00382536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ＭＳ ゴシック" w:eastAsia="ＭＳ ゴシック"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36830</wp:posOffset>
                      </wp:positionV>
                      <wp:extent cx="962025" cy="133350"/>
                      <wp:effectExtent l="0" t="0" r="9525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3372B4E" id="正方形/長方形 5" o:spid="_x0000_s1026" style="position:absolute;left:0;text-align:left;margin-left:60.65pt;margin-top:2.9pt;width:75.75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" fillcolor="white [3212]" stroked="f" strokeweight="1pt"/>
                  </w:pict>
                </mc:Fallback>
              </mc:AlternateContent>
            </w:r>
            <w:r w:rsidR="008A38DD">
              <w:rPr>
                <w:rFonts w:ascii="ＭＳ ゴシック" w:eastAsia="ＭＳ ゴシック"/>
                <w:bCs/>
                <w:noProof/>
                <w:sz w:val="32"/>
              </w:rPr>
              <w:object w:dxaOrig="1440" w:dyaOrig="1440">
                <v:group id="_x0000_s1033" style="position:absolute;left:0;text-align:left;margin-left:-2.35pt;margin-top:.5pt;width:198pt;height:161.15pt;z-index:251672576;mso-position-horizontal-relative:text;mso-position-vertical-relative:text" coordorigin="2574,10468" coordsize="3960,322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4" type="#_x0000_t75" style="position:absolute;left:2574;top:10485;width:3960;height:3206">
                    <v:imagedata r:id="rId10" o:title="" croptop="34161f" cropleft="1650f" cropright="34152f"/>
                  </v:shape>
                  <v:rect id="_x0000_s1035" style="position:absolute;left:3534;top:10468;width:350;height:326" stroked="f">
                    <v:textbox inset="5.85pt,.7pt,5.85pt,.7pt"/>
                  </v:rect>
                </v:group>
                <o:OLEObject Type="Embed" ProgID="PBrush" ShapeID="_x0000_s1034" DrawAspect="Content" ObjectID="_1804677238" r:id="rId11"/>
              </w:object>
            </w:r>
          </w:p>
          <w:p w:rsidR="0078128D" w:rsidRDefault="0078128D" w:rsidP="00382536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</w:p>
          <w:p w:rsidR="0078128D" w:rsidRDefault="0078128D" w:rsidP="00382536">
            <w:pPr>
              <w:rPr>
                <w:rFonts w:ascii="Verdana" w:eastAsia="ＭＳ Ｐ明朝" w:hAnsi="Verdana"/>
                <w:sz w:val="20"/>
              </w:rPr>
            </w:pPr>
          </w:p>
        </w:tc>
        <w:tc>
          <w:tcPr>
            <w:tcW w:w="4526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382536">
            <w:pPr>
              <w:snapToGrid w:val="0"/>
              <w:spacing w:line="180" w:lineRule="exact"/>
              <w:rPr>
                <w:rFonts w:ascii="Verdana" w:eastAsia="ＭＳ Ｐゴシック" w:hAnsi="Verdana"/>
                <w:noProof/>
                <w:sz w:val="12"/>
              </w:rPr>
            </w:pPr>
          </w:p>
          <w:p w:rsidR="0078128D" w:rsidRDefault="0078128D" w:rsidP="00382536">
            <w:pPr>
              <w:spacing w:line="260" w:lineRule="exact"/>
              <w:rPr>
                <w:rFonts w:ascii="Verdana" w:eastAsia="ＭＳ Ｐゴシック" w:hAnsi="Verdana"/>
                <w:noProof/>
                <w:sz w:val="22"/>
              </w:rPr>
            </w:pPr>
            <w:r>
              <w:rPr>
                <w:rFonts w:ascii="Verdana" w:eastAsia="ＭＳ Ｐゴシック" w:hAnsi="Verdana" w:hint="eastAsia"/>
                <w:noProof/>
                <w:sz w:val="22"/>
              </w:rPr>
              <w:t>血中濃度比較試験</w:t>
            </w:r>
          </w:p>
          <w:p w:rsidR="007E7819" w:rsidRDefault="007E7819" w:rsidP="007E7819">
            <w:pPr>
              <w:pStyle w:val="2"/>
              <w:spacing w:line="260" w:lineRule="exact"/>
            </w:pPr>
            <w:r>
              <w:rPr>
                <w:rFonts w:hint="eastAsia"/>
              </w:rPr>
              <w:t>「後発医薬品の生物学的同等性試験ガイドライン」に基づき、</w:t>
            </w:r>
            <w:r w:rsidR="00E953B1" w:rsidRPr="00E953B1">
              <w:rPr>
                <w:rFonts w:hint="eastAsia"/>
              </w:rPr>
              <w:t>本製剤と標準製剤</w:t>
            </w:r>
            <w:r>
              <w:rPr>
                <w:rFonts w:hint="eastAsia"/>
              </w:rPr>
              <w:t>の生物学的同等性が確認された。</w:t>
            </w:r>
          </w:p>
          <w:p w:rsidR="0078128D" w:rsidRDefault="00382536" w:rsidP="00382536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noProof/>
                <w:sz w:val="22"/>
              </w:rPr>
              <w:drawing>
                <wp:anchor distT="0" distB="0" distL="114300" distR="114300" simplePos="0" relativeHeight="251673600" behindDoc="0" locked="0" layoutInCell="1" allowOverlap="1" wp14:anchorId="72EFAE5C" wp14:editId="7000E40C">
                  <wp:simplePos x="0" y="0"/>
                  <wp:positionH relativeFrom="column">
                    <wp:posOffset>-18847</wp:posOffset>
                  </wp:positionH>
                  <wp:positionV relativeFrom="paragraph">
                    <wp:posOffset>57455</wp:posOffset>
                  </wp:positionV>
                  <wp:extent cx="2742794" cy="2066625"/>
                  <wp:effectExtent l="0" t="0" r="635" b="0"/>
                  <wp:wrapNone/>
                  <wp:docPr id="4" name="図 4" descr="メロキシカム-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メロキシカム-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9" r="1880"/>
                          <a:stretch/>
                        </pic:blipFill>
                        <pic:spPr bwMode="auto">
                          <a:xfrm>
                            <a:off x="0" y="0"/>
                            <a:ext cx="2742794" cy="206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128D" w:rsidRDefault="0078128D" w:rsidP="00382536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382536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:rsidTr="00382536">
        <w:trPr>
          <w:trHeight w:val="466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382536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83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382536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382536">
        <w:trPr>
          <w:trHeight w:val="472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382536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担当者、連絡先</w:t>
            </w:r>
          </w:p>
        </w:tc>
        <w:tc>
          <w:tcPr>
            <w:tcW w:w="883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382536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Default="00522B31">
      <w:pPr>
        <w:jc w:val="center"/>
        <w:rPr>
          <w:rFonts w:ascii="ＭＳ ゴシック" w:eastAsia="ＭＳ ゴシック"/>
          <w:bCs/>
          <w:sz w:val="28"/>
        </w:rPr>
      </w:pPr>
    </w:p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8CB" w:rsidRDefault="00C748CB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8CB" w:rsidRDefault="00C748C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8CB" w:rsidRDefault="00C748C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722D77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8D69F3">
      <w:rPr>
        <w:rFonts w:ascii="Verdana" w:eastAsia="ＭＳ ゴシック" w:hAnsi="Verdana"/>
        <w:sz w:val="20"/>
      </w:rPr>
      <w:t>5</w:t>
    </w:r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8CB" w:rsidRDefault="00C748C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B2E11"/>
    <w:rsid w:val="00121730"/>
    <w:rsid w:val="001A2E78"/>
    <w:rsid w:val="001B2264"/>
    <w:rsid w:val="001E1012"/>
    <w:rsid w:val="00270FD2"/>
    <w:rsid w:val="0029519A"/>
    <w:rsid w:val="002E7DD6"/>
    <w:rsid w:val="00326F91"/>
    <w:rsid w:val="00362123"/>
    <w:rsid w:val="00382536"/>
    <w:rsid w:val="00410290"/>
    <w:rsid w:val="00423D72"/>
    <w:rsid w:val="004409F3"/>
    <w:rsid w:val="0047183A"/>
    <w:rsid w:val="004A74DA"/>
    <w:rsid w:val="00506E57"/>
    <w:rsid w:val="005204EE"/>
    <w:rsid w:val="00522B31"/>
    <w:rsid w:val="00523903"/>
    <w:rsid w:val="00581C48"/>
    <w:rsid w:val="00582241"/>
    <w:rsid w:val="005879C7"/>
    <w:rsid w:val="00657659"/>
    <w:rsid w:val="00722D77"/>
    <w:rsid w:val="00744ABB"/>
    <w:rsid w:val="0078128D"/>
    <w:rsid w:val="007E7819"/>
    <w:rsid w:val="0087620E"/>
    <w:rsid w:val="008A19A3"/>
    <w:rsid w:val="008A38DD"/>
    <w:rsid w:val="008C06C8"/>
    <w:rsid w:val="008D69F3"/>
    <w:rsid w:val="009531A1"/>
    <w:rsid w:val="0096212E"/>
    <w:rsid w:val="009666F7"/>
    <w:rsid w:val="009844B8"/>
    <w:rsid w:val="009D56DE"/>
    <w:rsid w:val="00A03BCF"/>
    <w:rsid w:val="00AC4D9C"/>
    <w:rsid w:val="00AE6393"/>
    <w:rsid w:val="00B12372"/>
    <w:rsid w:val="00BA511B"/>
    <w:rsid w:val="00C11E0D"/>
    <w:rsid w:val="00C41655"/>
    <w:rsid w:val="00C7264C"/>
    <w:rsid w:val="00C748CB"/>
    <w:rsid w:val="00C75951"/>
    <w:rsid w:val="00CA28CE"/>
    <w:rsid w:val="00D30D10"/>
    <w:rsid w:val="00D635C7"/>
    <w:rsid w:val="00D80BE1"/>
    <w:rsid w:val="00D840B4"/>
    <w:rsid w:val="00DB6AD3"/>
    <w:rsid w:val="00E953B1"/>
    <w:rsid w:val="00FB76A0"/>
    <w:rsid w:val="00FD13F7"/>
    <w:rsid w:val="00FF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4BDA1E7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ﾒﾛｷｼｶﾑ錠10mg｢ｸﾆﾋﾛ｣_比較表</vt:lpstr>
      <vt:lpstr>ＦＡＸ送信書</vt:lpstr>
    </vt:vector>
  </TitlesOfParts>
  <Company>皇漢堂製薬（株）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ﾒﾛｷｼｶﾑ錠10mg｢ｸﾆﾋﾛ｣_比較表</dc:title>
  <dc:subject/>
  <dc:creator>Namikawa Machiko</dc:creator>
  <cp:keywords/>
  <cp:lastModifiedBy>Kishida Satomi</cp:lastModifiedBy>
  <cp:revision>2</cp:revision>
  <cp:lastPrinted>2018-03-29T00:47:00Z</cp:lastPrinted>
  <dcterms:created xsi:type="dcterms:W3CDTF">2025-03-28T05:28:00Z</dcterms:created>
  <dcterms:modified xsi:type="dcterms:W3CDTF">2025-03-28T05:28:00Z</dcterms:modified>
  <cp:contentStatus/>
</cp:coreProperties>
</file>